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lang w:val="en-US" w:eastAsia="zh-CN"/>
        </w:rPr>
      </w:pPr>
    </w:p>
    <w:p>
      <w:pPr>
        <w:jc w:val="center"/>
        <w:rPr>
          <w:rFonts w:hint="eastAsia"/>
          <w:color w:val="000000" w:themeColor="text1"/>
          <w:sz w:val="30"/>
          <w:szCs w:val="30"/>
          <w:lang w:val="en-US" w:eastAsia="zh-CN"/>
          <w14:textFill>
            <w14:solidFill>
              <w14:schemeClr w14:val="tx1"/>
            </w14:solidFill>
          </w14:textFill>
        </w:rPr>
      </w:pPr>
      <w:r>
        <w:rPr>
          <w:rFonts w:hint="eastAsia"/>
          <w:color w:val="000000" w:themeColor="text1"/>
          <w:sz w:val="30"/>
          <w:szCs w:val="30"/>
          <w:lang w:val="en-US" w:eastAsia="zh-CN"/>
          <w14:textFill>
            <w14:solidFill>
              <w14:schemeClr w14:val="tx1"/>
            </w14:solidFill>
          </w14:textFill>
        </w:rPr>
        <w:t>投标报价说明（装饰部分）</w:t>
      </w:r>
    </w:p>
    <w:p>
      <w:pPr>
        <w:jc w:val="center"/>
        <w:rPr>
          <w:rFonts w:hint="eastAsia"/>
          <w:color w:val="000000" w:themeColor="text1"/>
          <w:sz w:val="30"/>
          <w:szCs w:val="30"/>
          <w:lang w:val="en-US" w:eastAsia="zh-CN"/>
          <w14:textFill>
            <w14:solidFill>
              <w14:schemeClr w14:val="tx1"/>
            </w14:solidFill>
          </w14:textFill>
        </w:rPr>
      </w:pPr>
    </w:p>
    <w:p>
      <w:pPr>
        <w:numPr>
          <w:ilvl w:val="0"/>
          <w:numId w:val="0"/>
        </w:numPr>
        <w:rPr>
          <w:rFonts w:hint="eastAsia"/>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1.  </w:t>
      </w:r>
      <w:r>
        <w:rPr>
          <w:rFonts w:hint="eastAsia" w:ascii="宋体" w:hAnsi="宋体" w:eastAsia="宋体" w:cs="宋体"/>
          <w:color w:val="000000" w:themeColor="text1"/>
          <w:sz w:val="28"/>
          <w:szCs w:val="28"/>
          <w:lang w:eastAsia="zh-CN"/>
          <w14:textFill>
            <w14:solidFill>
              <w14:schemeClr w14:val="tx1"/>
            </w14:solidFill>
          </w14:textFill>
        </w:rPr>
        <w:t>所有投标人报价应该按照</w:t>
      </w:r>
      <w:r>
        <w:rPr>
          <w:rFonts w:ascii="宋体" w:hAnsi="宋体" w:eastAsia="宋体" w:cs="宋体"/>
          <w:color w:val="000000" w:themeColor="text1"/>
          <w:sz w:val="28"/>
          <w:szCs w:val="28"/>
          <w14:textFill>
            <w14:solidFill>
              <w14:schemeClr w14:val="tx1"/>
            </w14:solidFill>
          </w14:textFill>
        </w:rPr>
        <w:t>《福建省建筑安装工程费用定额》（2016版）</w:t>
      </w:r>
      <w:r>
        <w:rPr>
          <w:rFonts w:hint="eastAsia" w:ascii="宋体" w:hAnsi="宋体" w:eastAsia="宋体" w:cs="宋体"/>
          <w:color w:val="000000" w:themeColor="text1"/>
          <w:sz w:val="28"/>
          <w:szCs w:val="28"/>
          <w:lang w:eastAsia="zh-CN"/>
          <w14:textFill>
            <w14:solidFill>
              <w14:schemeClr w14:val="tx1"/>
            </w14:solidFill>
          </w14:textFill>
        </w:rPr>
        <w:t>、</w:t>
      </w:r>
      <w:r>
        <w:rPr>
          <w:rFonts w:ascii="Arial" w:hAnsi="Arial" w:eastAsia="宋体" w:cs="Arial"/>
          <w:b w:val="0"/>
          <w:i w:val="0"/>
          <w:caps w:val="0"/>
          <w:color w:val="000000" w:themeColor="text1"/>
          <w:spacing w:val="0"/>
          <w:sz w:val="28"/>
          <w:szCs w:val="28"/>
          <w:shd w:val="clear" w:fill="FFFFFF"/>
          <w14:textFill>
            <w14:solidFill>
              <w14:schemeClr w14:val="tx1"/>
            </w14:solidFill>
          </w14:textFill>
        </w:rPr>
        <w:t>《</w:t>
      </w:r>
      <w:r>
        <w:rPr>
          <w:rStyle w:val="4"/>
          <w:rFonts w:hint="default" w:ascii="Arial" w:hAnsi="Arial" w:eastAsia="宋体" w:cs="Arial"/>
          <w:b w:val="0"/>
          <w:i w:val="0"/>
          <w:caps w:val="0"/>
          <w:color w:val="000000" w:themeColor="text1"/>
          <w:spacing w:val="0"/>
          <w:sz w:val="28"/>
          <w:szCs w:val="28"/>
          <w:shd w:val="clear" w:fill="FFFFFF"/>
          <w14:textFill>
            <w14:solidFill>
              <w14:schemeClr w14:val="tx1"/>
            </w14:solidFill>
          </w14:textFill>
        </w:rPr>
        <w:t>福建省建筑</w:t>
      </w:r>
      <w:r>
        <w:rPr>
          <w:rFonts w:hint="default" w:ascii="Arial" w:hAnsi="Arial" w:eastAsia="宋体" w:cs="Arial"/>
          <w:b w:val="0"/>
          <w:i w:val="0"/>
          <w:caps w:val="0"/>
          <w:color w:val="000000" w:themeColor="text1"/>
          <w:spacing w:val="0"/>
          <w:sz w:val="28"/>
          <w:szCs w:val="28"/>
          <w:shd w:val="clear" w:fill="FFFFFF"/>
          <w14:textFill>
            <w14:solidFill>
              <w14:schemeClr w14:val="tx1"/>
            </w14:solidFill>
          </w14:textFill>
        </w:rPr>
        <w:t>装饰装修工程消耗量</w:t>
      </w:r>
      <w:r>
        <w:rPr>
          <w:rStyle w:val="4"/>
          <w:rFonts w:hint="default" w:ascii="Arial" w:hAnsi="Arial" w:eastAsia="宋体" w:cs="Arial"/>
          <w:b w:val="0"/>
          <w:i w:val="0"/>
          <w:caps w:val="0"/>
          <w:color w:val="000000" w:themeColor="text1"/>
          <w:spacing w:val="0"/>
          <w:sz w:val="28"/>
          <w:szCs w:val="28"/>
          <w:shd w:val="clear" w:fill="FFFFFF"/>
          <w14:textFill>
            <w14:solidFill>
              <w14:schemeClr w14:val="tx1"/>
            </w14:solidFill>
          </w14:textFill>
        </w:rPr>
        <w:t>定额</w:t>
      </w:r>
      <w:r>
        <w:rPr>
          <w:rFonts w:hint="default" w:ascii="Arial" w:hAnsi="Arial" w:eastAsia="宋体" w:cs="Arial"/>
          <w:b w:val="0"/>
          <w:i w:val="0"/>
          <w:caps w:val="0"/>
          <w:color w:val="000000" w:themeColor="text1"/>
          <w:spacing w:val="0"/>
          <w:sz w:val="28"/>
          <w:szCs w:val="28"/>
          <w:shd w:val="clear" w:fill="FFFFFF"/>
          <w14:textFill>
            <w14:solidFill>
              <w14:schemeClr w14:val="tx1"/>
            </w14:solidFill>
          </w14:textFill>
        </w:rPr>
        <w:t>》(FJYD-201-2005)</w:t>
      </w:r>
      <w:r>
        <w:rPr>
          <w:rFonts w:hint="eastAsia"/>
          <w:color w:val="000000" w:themeColor="text1"/>
          <w:sz w:val="28"/>
          <w:szCs w:val="28"/>
          <w:lang w:val="en-US" w:eastAsia="zh-CN"/>
          <w14:textFill>
            <w14:solidFill>
              <w14:schemeClr w14:val="tx1"/>
            </w14:solidFill>
          </w14:textFill>
        </w:rPr>
        <w:t xml:space="preserve"> 、</w:t>
      </w:r>
      <w:r>
        <w:rPr>
          <w:rFonts w:ascii="Arial" w:hAnsi="Arial" w:eastAsia="宋体" w:cs="Arial"/>
          <w:b w:val="0"/>
          <w:i w:val="0"/>
          <w:caps w:val="0"/>
          <w:color w:val="000000" w:themeColor="text1"/>
          <w:spacing w:val="0"/>
          <w:sz w:val="28"/>
          <w:szCs w:val="28"/>
          <w:shd w:val="clear" w:fill="FFFFFF"/>
          <w14:textFill>
            <w14:solidFill>
              <w14:schemeClr w14:val="tx1"/>
            </w14:solidFill>
          </w14:textFill>
        </w:rPr>
        <w:t>《</w:t>
      </w:r>
      <w:r>
        <w:rPr>
          <w:rStyle w:val="4"/>
          <w:rFonts w:hint="default" w:ascii="Arial" w:hAnsi="Arial" w:eastAsia="宋体" w:cs="Arial"/>
          <w:b w:val="0"/>
          <w:i w:val="0"/>
          <w:caps w:val="0"/>
          <w:color w:val="000000" w:themeColor="text1"/>
          <w:spacing w:val="0"/>
          <w:sz w:val="28"/>
          <w:szCs w:val="28"/>
          <w:shd w:val="clear" w:fill="FFFFFF"/>
          <w14:textFill>
            <w14:solidFill>
              <w14:schemeClr w14:val="tx1"/>
            </w14:solidFill>
          </w14:textFill>
        </w:rPr>
        <w:t>福建省建筑</w:t>
      </w:r>
      <w:r>
        <w:rPr>
          <w:rFonts w:hint="default" w:ascii="Arial" w:hAnsi="Arial" w:eastAsia="宋体" w:cs="Arial"/>
          <w:b w:val="0"/>
          <w:i w:val="0"/>
          <w:caps w:val="0"/>
          <w:color w:val="000000" w:themeColor="text1"/>
          <w:spacing w:val="0"/>
          <w:sz w:val="28"/>
          <w:szCs w:val="28"/>
          <w:shd w:val="clear" w:fill="FFFFFF"/>
          <w14:textFill>
            <w14:solidFill>
              <w14:schemeClr w14:val="tx1"/>
            </w14:solidFill>
          </w14:textFill>
        </w:rPr>
        <w:t>工程消耗量</w:t>
      </w:r>
      <w:r>
        <w:rPr>
          <w:rStyle w:val="4"/>
          <w:rFonts w:hint="default" w:ascii="Arial" w:hAnsi="Arial" w:eastAsia="宋体" w:cs="Arial"/>
          <w:b w:val="0"/>
          <w:i w:val="0"/>
          <w:caps w:val="0"/>
          <w:color w:val="000000" w:themeColor="text1"/>
          <w:spacing w:val="0"/>
          <w:sz w:val="28"/>
          <w:szCs w:val="28"/>
          <w:shd w:val="clear" w:fill="FFFFFF"/>
          <w14:textFill>
            <w14:solidFill>
              <w14:schemeClr w14:val="tx1"/>
            </w14:solidFill>
          </w14:textFill>
        </w:rPr>
        <w:t>定额</w:t>
      </w:r>
      <w:r>
        <w:rPr>
          <w:rFonts w:hint="default" w:ascii="Arial" w:hAnsi="Arial" w:eastAsia="宋体" w:cs="Arial"/>
          <w:b w:val="0"/>
          <w:i w:val="0"/>
          <w:caps w:val="0"/>
          <w:color w:val="000000" w:themeColor="text1"/>
          <w:spacing w:val="0"/>
          <w:sz w:val="28"/>
          <w:szCs w:val="28"/>
          <w:shd w:val="clear" w:fill="FFFFFF"/>
          <w14:textFill>
            <w14:solidFill>
              <w14:schemeClr w14:val="tx1"/>
            </w14:solidFill>
          </w14:textFill>
        </w:rPr>
        <w:t>》(FJYD-101-2005)</w:t>
      </w:r>
      <w:r>
        <w:rPr>
          <w:rFonts w:hint="eastAsia" w:ascii="Arial" w:hAnsi="Arial" w:eastAsia="宋体" w:cs="Arial"/>
          <w:b w:val="0"/>
          <w:i w:val="0"/>
          <w:caps w:val="0"/>
          <w:color w:val="000000" w:themeColor="text1"/>
          <w:spacing w:val="0"/>
          <w:sz w:val="28"/>
          <w:szCs w:val="28"/>
          <w:shd w:val="clear" w:fill="FFFFFF"/>
          <w:lang w:eastAsia="zh-CN"/>
          <w14:textFill>
            <w14:solidFill>
              <w14:schemeClr w14:val="tx1"/>
            </w14:solidFill>
          </w14:textFill>
        </w:rPr>
        <w:t>进行报价。</w:t>
      </w:r>
      <w:r>
        <w:rPr>
          <w:rFonts w:hint="eastAsia"/>
          <w:color w:val="000000" w:themeColor="text1"/>
          <w:sz w:val="28"/>
          <w:szCs w:val="28"/>
          <w:lang w:val="en-US" w:eastAsia="zh-CN"/>
          <w14:textFill>
            <w14:solidFill>
              <w14:schemeClr w14:val="tx1"/>
            </w14:solidFill>
          </w14:textFill>
        </w:rPr>
        <w:t>信息价按照福州市闽侯县2016年6月份信息价，机械台班按照福建省2016年一季度信息价。</w:t>
      </w:r>
    </w:p>
    <w:p>
      <w:pPr>
        <w:numPr>
          <w:ilvl w:val="0"/>
          <w:numId w:val="1"/>
        </w:numPr>
        <w:ind w:firstLine="560"/>
        <w:rPr>
          <w:rFonts w:hint="eastAsia"/>
          <w:sz w:val="28"/>
          <w:szCs w:val="28"/>
          <w:lang w:val="en-US" w:eastAsia="zh-CN"/>
        </w:rPr>
      </w:pPr>
      <w:r>
        <w:rPr>
          <w:rFonts w:hint="eastAsia"/>
          <w:sz w:val="28"/>
          <w:szCs w:val="28"/>
          <w:lang w:val="en-US" w:eastAsia="zh-CN"/>
        </w:rPr>
        <w:t>招标人提供的招标清单下的定额子项及相应组价工程量，仅供投标人参考，投标人应该严格按照清单项目工程量及清单特征描述，结合图纸，仔细认真报价。</w:t>
      </w:r>
    </w:p>
    <w:p>
      <w:pPr>
        <w:numPr>
          <w:ilvl w:val="0"/>
          <w:numId w:val="0"/>
        </w:numPr>
        <w:rPr>
          <w:rFonts w:hint="eastAsia"/>
          <w:sz w:val="28"/>
          <w:szCs w:val="28"/>
          <w:lang w:val="en-US" w:eastAsia="zh-CN"/>
        </w:rPr>
      </w:pPr>
      <w:r>
        <w:rPr>
          <w:rFonts w:hint="eastAsia"/>
          <w:sz w:val="28"/>
          <w:szCs w:val="28"/>
          <w:lang w:val="en-US" w:eastAsia="zh-CN"/>
        </w:rPr>
        <w:t xml:space="preserve">   3.标准层装饰，清单中只体现一层的量，投标人在进行总价汇总时，应该另外加上其他18层的总价，因层高不同导致工程量差异的，按实调整。</w:t>
      </w:r>
    </w:p>
    <w:p>
      <w:pPr>
        <w:numPr>
          <w:ilvl w:val="0"/>
          <w:numId w:val="0"/>
        </w:numPr>
        <w:rPr>
          <w:rFonts w:hint="eastAsia"/>
          <w:sz w:val="28"/>
          <w:szCs w:val="28"/>
          <w:lang w:val="en-US" w:eastAsia="zh-CN"/>
        </w:rPr>
      </w:pPr>
      <w:r>
        <w:rPr>
          <w:rFonts w:hint="eastAsia"/>
          <w:sz w:val="28"/>
          <w:szCs w:val="28"/>
          <w:lang w:val="en-US" w:eastAsia="zh-CN"/>
        </w:rPr>
        <w:t xml:space="preserve">    4.所有的地毯甲方自行采购及施工，但是地毯下的找平层及相应的交界面收口由中标人负责施工，同时中标人应该无偿与地毯施工单位进行协调或提供配合，周边踢脚线需带地毯铺设完成后安装。</w:t>
      </w:r>
    </w:p>
    <w:p>
      <w:pPr>
        <w:numPr>
          <w:ilvl w:val="0"/>
          <w:numId w:val="0"/>
        </w:numPr>
        <w:rPr>
          <w:rFonts w:hint="eastAsia"/>
          <w:sz w:val="28"/>
          <w:szCs w:val="28"/>
          <w:lang w:val="en-US" w:eastAsia="zh-CN"/>
        </w:rPr>
      </w:pPr>
      <w:r>
        <w:rPr>
          <w:rFonts w:hint="eastAsia"/>
          <w:sz w:val="28"/>
          <w:szCs w:val="28"/>
          <w:lang w:val="en-US" w:eastAsia="zh-CN"/>
        </w:rPr>
        <w:t xml:space="preserve">    5.所有的墙面、柱面干挂石材钢骨架数量暂定，工程量按实结算，投标人的投标单价应该综合考虑干挂骨架的暗门骨架，结算时暗门骨架轴承不另行计算。所有的螺栓（帽）、膨胀螺栓、干挂件，连接件、钢材开孔等应综合考虑计入石材干挂项目单价，结算时不另行增加。</w:t>
      </w:r>
    </w:p>
    <w:p>
      <w:pPr>
        <w:numPr>
          <w:ilvl w:val="0"/>
          <w:numId w:val="0"/>
        </w:numPr>
        <w:rPr>
          <w:rFonts w:hint="eastAsia"/>
          <w:sz w:val="28"/>
          <w:szCs w:val="28"/>
          <w:lang w:val="en-US" w:eastAsia="zh-CN"/>
        </w:rPr>
      </w:pPr>
      <w:r>
        <w:rPr>
          <w:rFonts w:hint="eastAsia"/>
          <w:sz w:val="28"/>
          <w:szCs w:val="28"/>
          <w:lang w:val="en-US" w:eastAsia="zh-CN"/>
        </w:rPr>
        <w:t xml:space="preserve">    6.一号楼一层主入口电动旋转门（含部分外墙幕墙），因为图纸不详，暂定总价20万元，直接计入一号楼一层投标总价。</w:t>
      </w:r>
    </w:p>
    <w:p>
      <w:pPr>
        <w:numPr>
          <w:ilvl w:val="0"/>
          <w:numId w:val="0"/>
        </w:numPr>
        <w:rPr>
          <w:rFonts w:hint="eastAsia"/>
          <w:sz w:val="28"/>
          <w:szCs w:val="28"/>
          <w:lang w:val="en-US" w:eastAsia="zh-CN"/>
        </w:rPr>
      </w:pPr>
      <w:r>
        <w:rPr>
          <w:rFonts w:hint="eastAsia"/>
          <w:sz w:val="28"/>
          <w:szCs w:val="28"/>
          <w:lang w:val="en-US" w:eastAsia="zh-CN"/>
        </w:rPr>
        <w:t xml:space="preserve">   7.所有的幕墙梁底窗台板，投标人应该仔细考核考察现场，现场窗台板与清单描述尺寸不符的，投标人应综合考虑，中标后不予更改。</w:t>
      </w:r>
    </w:p>
    <w:p>
      <w:pPr>
        <w:numPr>
          <w:ilvl w:val="0"/>
          <w:numId w:val="0"/>
        </w:numPr>
        <w:rPr>
          <w:rFonts w:hint="eastAsia"/>
          <w:sz w:val="28"/>
          <w:szCs w:val="28"/>
          <w:lang w:val="en-US" w:eastAsia="zh-CN"/>
        </w:rPr>
      </w:pPr>
      <w:r>
        <w:rPr>
          <w:rFonts w:hint="eastAsia"/>
          <w:sz w:val="28"/>
          <w:szCs w:val="28"/>
          <w:lang w:val="en-US" w:eastAsia="zh-CN"/>
        </w:rPr>
        <w:t xml:space="preserve">   8.考虑到招标工程量清单页数较多，投标人投标报价时，可以暂不提供工程量清单单价分析表纸质资料，</w:t>
      </w:r>
      <w:bookmarkStart w:id="0" w:name="_GoBack"/>
      <w:bookmarkEnd w:id="0"/>
      <w:r>
        <w:rPr>
          <w:rFonts w:hint="eastAsia"/>
          <w:sz w:val="28"/>
          <w:szCs w:val="28"/>
          <w:lang w:val="en-US" w:eastAsia="zh-CN"/>
        </w:rPr>
        <w:t>但是应该提供整套的投标报价电子版本并刻盘报送给招标人。若投标提供的投标电子版的工程量清单单价分析表或其他报价电子文件</w:t>
      </w:r>
      <w:r>
        <w:rPr>
          <w:rFonts w:hint="eastAsia"/>
          <w:sz w:val="28"/>
          <w:szCs w:val="28"/>
          <w:highlight w:val="red"/>
          <w:lang w:val="en-US" w:eastAsia="zh-CN"/>
        </w:rPr>
        <w:t>与纸质书面报价不符的，投标人的报价将被界定为废标</w:t>
      </w:r>
      <w:r>
        <w:rPr>
          <w:rFonts w:hint="eastAsia"/>
          <w:sz w:val="28"/>
          <w:szCs w:val="28"/>
          <w:lang w:val="en-US" w:eastAsia="zh-CN"/>
        </w:rPr>
        <w:t>。</w:t>
      </w:r>
    </w:p>
    <w:p>
      <w:pPr>
        <w:numPr>
          <w:ilvl w:val="0"/>
          <w:numId w:val="0"/>
        </w:numPr>
        <w:rPr>
          <w:rFonts w:hint="eastAsia"/>
          <w:sz w:val="28"/>
          <w:szCs w:val="28"/>
          <w:lang w:val="en-US" w:eastAsia="zh-CN"/>
        </w:rPr>
      </w:pPr>
      <w:r>
        <w:rPr>
          <w:rFonts w:hint="eastAsia"/>
          <w:sz w:val="28"/>
          <w:szCs w:val="28"/>
          <w:lang w:val="en-US" w:eastAsia="zh-CN"/>
        </w:rPr>
        <w:t xml:space="preserve">   9.所有的圆柱面石材项目，整圆柱面石材按照三拼报价，其他半圆或非整圆石材柱面，按照不低于整圆柱面石材规格报价。</w:t>
      </w:r>
    </w:p>
    <w:p>
      <w:pPr>
        <w:numPr>
          <w:ilvl w:val="0"/>
          <w:numId w:val="0"/>
        </w:numPr>
        <w:rPr>
          <w:rFonts w:hint="eastAsia"/>
          <w:sz w:val="28"/>
          <w:szCs w:val="28"/>
          <w:lang w:val="en-US" w:eastAsia="zh-CN"/>
        </w:rPr>
      </w:pPr>
      <w:r>
        <w:rPr>
          <w:rFonts w:hint="eastAsia"/>
          <w:sz w:val="28"/>
          <w:szCs w:val="28"/>
          <w:lang w:val="en-US" w:eastAsia="zh-CN"/>
        </w:rPr>
        <w:t xml:space="preserve">   10.若后期圆柱面石材材质发生变更的，招标人将只认定相应石材的墙面石材单价，相应的圆柱面石材单价系数按照投标人的原报价圆柱面石材单价除以相应的墙面石材单价确定。投标人的这两项石材有多种报价的，相应的系数将按照加权平均数确定。</w:t>
      </w:r>
    </w:p>
    <w:p>
      <w:pPr>
        <w:numPr>
          <w:ilvl w:val="0"/>
          <w:numId w:val="0"/>
        </w:numPr>
        <w:rPr>
          <w:rFonts w:hint="eastAsia"/>
          <w:sz w:val="28"/>
          <w:szCs w:val="28"/>
          <w:lang w:val="en-US" w:eastAsia="zh-CN"/>
        </w:rPr>
      </w:pPr>
      <w:r>
        <w:rPr>
          <w:rFonts w:hint="eastAsia"/>
          <w:sz w:val="28"/>
          <w:szCs w:val="28"/>
          <w:lang w:val="en-US" w:eastAsia="zh-CN"/>
        </w:rPr>
        <w:t xml:space="preserve">   11. 关于雪花白大理石的变更说明：除24层卫生间墙面外，所有的墙面地面雪花白大理石，替换为相应规格的欧亚木纹大理石；一层柱面雪花白大理石替换为爵士白大理石；所有的窗台板雪花白大理石替换为爵士白或维多利亚灰大理石。24层卫生间墙面雪花白大理石，暂定材料价1000元/平米。</w:t>
      </w:r>
    </w:p>
    <w:p>
      <w:pPr>
        <w:numPr>
          <w:ilvl w:val="0"/>
          <w:numId w:val="0"/>
        </w:numPr>
        <w:rPr>
          <w:rFonts w:hint="eastAsia"/>
          <w:sz w:val="28"/>
          <w:szCs w:val="28"/>
          <w:lang w:val="en-US" w:eastAsia="zh-CN"/>
        </w:rPr>
      </w:pPr>
      <w:r>
        <w:rPr>
          <w:rFonts w:hint="eastAsia"/>
          <w:sz w:val="28"/>
          <w:szCs w:val="28"/>
          <w:lang w:val="en-US" w:eastAsia="zh-CN"/>
        </w:rPr>
        <w:t xml:space="preserve">   12.关于墙面地面石材厚度的说明，所有的地面及窗台板石材，厚度均为20mm；墙柱面干挂石材，厚度均为25mm；墙面黏贴石材，厚度均为20mm；若实际施工时，墙面干挂石材市场上无25mm厚度规格的，招标人将按照中标人相应的20mm厚度石材规格调整结算价格（若报价中无相应20mm厚度石材单价的，将按照原25mm石材厚度除以1.15计算），同时不另外增加干挂饰面石材背面加花岗岩石材背板或背条的费用。所有的石材实际进场厚度，与上述要求的石材厚度负偏差不得大于10%。</w:t>
      </w:r>
    </w:p>
    <w:p>
      <w:pPr>
        <w:numPr>
          <w:ilvl w:val="0"/>
          <w:numId w:val="0"/>
        </w:numPr>
        <w:rPr>
          <w:rFonts w:hint="eastAsia"/>
          <w:sz w:val="28"/>
          <w:szCs w:val="28"/>
          <w:lang w:val="en-US" w:eastAsia="zh-CN"/>
        </w:rPr>
      </w:pPr>
      <w:r>
        <w:rPr>
          <w:rFonts w:hint="eastAsia"/>
          <w:sz w:val="28"/>
          <w:szCs w:val="28"/>
          <w:lang w:val="en-US" w:eastAsia="zh-CN"/>
        </w:rPr>
        <w:t xml:space="preserve">     13.要求报送的石材材料样板：爵士白大理石，欧亚木纹大理石、维多利亚灰大理石，帕斯高灰大理石，白洞石，以上规格要求样板大小不低于300*300，所有的材料样板，投标人应标明投标人名称及日期并加盖公章，施工阶段，招标人将按照投标人报送的样板等级进行材料验收。</w:t>
      </w:r>
    </w:p>
    <w:p>
      <w:pPr>
        <w:numPr>
          <w:ilvl w:val="0"/>
          <w:numId w:val="0"/>
        </w:numPr>
        <w:rPr>
          <w:rFonts w:hint="eastAsia"/>
          <w:sz w:val="28"/>
          <w:szCs w:val="28"/>
          <w:lang w:val="en-US" w:eastAsia="zh-CN"/>
        </w:rPr>
      </w:pPr>
      <w:r>
        <w:rPr>
          <w:rFonts w:hint="eastAsia"/>
          <w:sz w:val="28"/>
          <w:szCs w:val="28"/>
          <w:lang w:val="en-US" w:eastAsia="zh-CN"/>
        </w:rPr>
        <w:t xml:space="preserve">     14.其他要求材料样板：实木（复合）地板、木吸音板、硅酸钙板，矿棉板，木饰面板，卫生间金属面隔断，卫生间墙面仿洞石玻化砖，地面玻化砖、铝合金内百叶中空玻璃隔断。所有的材料样板，投标人应标明投标人名称及日期并加盖公章，施工阶段，招标人将按照投标人报送的样板进行材料验收。</w:t>
      </w:r>
    </w:p>
    <w:p>
      <w:pPr>
        <w:numPr>
          <w:ilvl w:val="0"/>
          <w:numId w:val="0"/>
        </w:numPr>
        <w:rPr>
          <w:rFonts w:hint="eastAsia"/>
          <w:sz w:val="28"/>
          <w:szCs w:val="28"/>
          <w:lang w:val="en-US" w:eastAsia="zh-CN"/>
        </w:rPr>
      </w:pPr>
      <w:r>
        <w:rPr>
          <w:rFonts w:hint="eastAsia"/>
          <w:sz w:val="28"/>
          <w:szCs w:val="28"/>
          <w:lang w:val="en-US" w:eastAsia="zh-CN"/>
        </w:rPr>
        <w:t xml:space="preserve">   15.所有的圆拱、异形GRG项目，招标清单统一按照平面或者立面的投影面积计算工程量，投标人应该综合考虑异形项目展开面积差异。</w:t>
      </w:r>
    </w:p>
    <w:p>
      <w:pPr>
        <w:numPr>
          <w:ilvl w:val="0"/>
          <w:numId w:val="0"/>
        </w:numPr>
        <w:rPr>
          <w:rFonts w:hint="eastAsia"/>
          <w:sz w:val="28"/>
          <w:szCs w:val="28"/>
          <w:lang w:val="en-US" w:eastAsia="zh-CN"/>
        </w:rPr>
      </w:pPr>
      <w:r>
        <w:rPr>
          <w:rFonts w:hint="eastAsia"/>
          <w:sz w:val="28"/>
          <w:szCs w:val="28"/>
          <w:lang w:val="en-US" w:eastAsia="zh-CN"/>
        </w:rPr>
        <w:t xml:space="preserve">   16.二号楼一层VIP接待室琉璃瓦装饰，暂定单价3000元/平米。</w:t>
      </w:r>
    </w:p>
    <w:p>
      <w:pPr>
        <w:numPr>
          <w:ilvl w:val="0"/>
          <w:numId w:val="0"/>
        </w:numPr>
        <w:rPr>
          <w:rFonts w:hint="eastAsia"/>
          <w:sz w:val="28"/>
          <w:szCs w:val="28"/>
          <w:lang w:val="en-US" w:eastAsia="zh-CN"/>
        </w:rPr>
      </w:pPr>
      <w:r>
        <w:rPr>
          <w:rFonts w:hint="eastAsia"/>
          <w:sz w:val="28"/>
          <w:szCs w:val="28"/>
          <w:lang w:val="en-US" w:eastAsia="zh-CN"/>
        </w:rPr>
        <w:t xml:space="preserve">   17.所有的定制木门，除特殊说明外，均为实木复合门，门扇芯板为多层板或大芯板，饰面为木皮或饰面板，面层油漆为烤漆。门扇封边线及门套线为实木线条。每扇木门应含三个铰链、一个门碰或闭门器，一把高级门锁（报价时送样）。所有的地弹簧门，选用的地弹簧应比玻璃门计算的承重高一个等级，品牌选用GMT。</w:t>
      </w:r>
    </w:p>
    <w:p>
      <w:pPr>
        <w:numPr>
          <w:ilvl w:val="0"/>
          <w:numId w:val="0"/>
        </w:numPr>
        <w:rPr>
          <w:rFonts w:hint="eastAsia"/>
          <w:sz w:val="28"/>
          <w:szCs w:val="28"/>
          <w:lang w:val="en-US" w:eastAsia="zh-CN"/>
        </w:rPr>
      </w:pPr>
      <w:r>
        <w:rPr>
          <w:rFonts w:hint="eastAsia"/>
          <w:sz w:val="28"/>
          <w:szCs w:val="28"/>
          <w:lang w:val="en-US" w:eastAsia="zh-CN"/>
        </w:rPr>
        <w:t xml:space="preserve">  18.装修结算，施工单位应该提供室内空气环保检测结果。</w:t>
      </w:r>
    </w:p>
    <w:p>
      <w:pPr>
        <w:numPr>
          <w:ilvl w:val="0"/>
          <w:numId w:val="0"/>
        </w:numPr>
        <w:rPr>
          <w:rFonts w:hint="eastAsia"/>
          <w:sz w:val="28"/>
          <w:szCs w:val="28"/>
          <w:lang w:val="en-US" w:eastAsia="zh-CN"/>
        </w:rPr>
      </w:pPr>
      <w:r>
        <w:rPr>
          <w:rFonts w:hint="eastAsia"/>
          <w:sz w:val="28"/>
          <w:szCs w:val="28"/>
          <w:lang w:val="en-US" w:eastAsia="zh-CN"/>
        </w:rPr>
        <w:t xml:space="preserve">  19.暂列金额项目暂定总价50万元，直接计入一号楼一层投标总价。</w:t>
      </w:r>
    </w:p>
    <w:p>
      <w:pPr>
        <w:numPr>
          <w:ilvl w:val="0"/>
          <w:numId w:val="0"/>
        </w:numPr>
        <w:rPr>
          <w:rFonts w:hint="eastAsia"/>
          <w:sz w:val="28"/>
          <w:szCs w:val="28"/>
          <w:lang w:val="en-US" w:eastAsia="zh-CN"/>
        </w:rPr>
      </w:pPr>
      <w:r>
        <w:rPr>
          <w:rFonts w:hint="eastAsia"/>
          <w:sz w:val="28"/>
          <w:szCs w:val="28"/>
          <w:lang w:val="en-US" w:eastAsia="zh-CN"/>
        </w:rPr>
        <w:t xml:space="preserve">  20.脚手架项目，除满堂脚手架外，其他脚手架投标人应综合考虑，结算时按项包干，不做增减。</w:t>
      </w:r>
    </w:p>
    <w:p>
      <w:pPr>
        <w:adjustRightInd w:val="0"/>
        <w:snapToGrid w:val="0"/>
        <w:spacing w:line="360" w:lineRule="auto"/>
        <w:rPr>
          <w:rFonts w:hint="eastAsia"/>
          <w:sz w:val="28"/>
          <w:szCs w:val="28"/>
          <w:highlight w:val="none"/>
          <w:lang w:val="en-US" w:eastAsia="zh-CN"/>
        </w:rPr>
      </w:pPr>
      <w:r>
        <w:rPr>
          <w:rFonts w:hint="eastAsia"/>
          <w:sz w:val="28"/>
          <w:szCs w:val="28"/>
          <w:lang w:val="en-US" w:eastAsia="zh-CN"/>
        </w:rPr>
        <w:t xml:space="preserve">  21.原招标文件中，报价书编制说明中的：</w:t>
      </w:r>
      <w:r>
        <w:rPr>
          <w:rFonts w:hint="eastAsia"/>
          <w:color w:val="222A35" w:themeColor="text2" w:themeShade="80"/>
          <w:sz w:val="28"/>
          <w:szCs w:val="28"/>
          <w:lang w:val="en-US" w:eastAsia="zh-CN"/>
        </w:rPr>
        <w:t>“</w:t>
      </w:r>
      <w:r>
        <w:rPr>
          <w:rFonts w:hint="eastAsia" w:ascii="宋体" w:hAnsi="宋体"/>
          <w:color w:val="222A35" w:themeColor="text2" w:themeShade="80"/>
          <w:sz w:val="24"/>
        </w:rPr>
        <w:t>4、</w:t>
      </w:r>
      <w:r>
        <w:rPr>
          <w:rFonts w:hint="eastAsia" w:ascii="宋体" w:hAnsi="宋体"/>
          <w:b/>
          <w:color w:val="222A35" w:themeColor="text2" w:themeShade="80"/>
          <w:sz w:val="24"/>
        </w:rPr>
        <w:t>本次招标石材主材单价暂定</w:t>
      </w:r>
      <w:r>
        <w:rPr>
          <w:rFonts w:hint="eastAsia" w:ascii="宋体" w:hAnsi="宋体"/>
          <w:b/>
          <w:color w:val="222A35" w:themeColor="text2" w:themeShade="80"/>
          <w:sz w:val="24"/>
          <w:lang w:val="en-US" w:eastAsia="zh-CN"/>
        </w:rPr>
        <w:t>900</w:t>
      </w:r>
      <w:r>
        <w:rPr>
          <w:rFonts w:hint="eastAsia" w:ascii="宋体" w:hAnsi="宋体"/>
          <w:b/>
          <w:color w:val="222A35" w:themeColor="text2" w:themeShade="80"/>
          <w:sz w:val="24"/>
        </w:rPr>
        <w:t>元/m</w:t>
      </w:r>
      <w:r>
        <w:rPr>
          <w:rFonts w:hint="eastAsia" w:ascii="宋体" w:hAnsi="宋体"/>
          <w:b/>
          <w:color w:val="222A35" w:themeColor="text2" w:themeShade="80"/>
          <w:sz w:val="24"/>
          <w:vertAlign w:val="superscript"/>
        </w:rPr>
        <w:t>2</w:t>
      </w:r>
      <w:r>
        <w:rPr>
          <w:rFonts w:hint="eastAsia" w:ascii="宋体" w:hAnsi="宋体"/>
          <w:color w:val="222A35" w:themeColor="text2" w:themeShade="80"/>
          <w:sz w:val="24"/>
        </w:rPr>
        <w:t>，</w:t>
      </w:r>
      <w:r>
        <w:rPr>
          <w:rFonts w:hint="eastAsia"/>
          <w:b/>
          <w:color w:val="222A35" w:themeColor="text2" w:themeShade="80"/>
          <w:sz w:val="24"/>
        </w:rPr>
        <w:t>结算时</w:t>
      </w:r>
      <w:r>
        <w:rPr>
          <w:rFonts w:hint="eastAsia" w:ascii="宋体" w:hAnsi="宋体"/>
          <w:b/>
          <w:color w:val="222A35" w:themeColor="text2" w:themeShade="80"/>
          <w:sz w:val="24"/>
        </w:rPr>
        <w:t>此部分甲定乙购材料价格按</w:t>
      </w:r>
      <w:r>
        <w:rPr>
          <w:rFonts w:hint="eastAsia" w:hAnsi="宋体" w:cs="仿宋_GB2312"/>
          <w:b/>
          <w:color w:val="222A35" w:themeColor="text2" w:themeShade="80"/>
          <w:sz w:val="24"/>
          <w:lang w:val="zh-CN"/>
        </w:rPr>
        <w:t>招标人</w:t>
      </w:r>
      <w:r>
        <w:rPr>
          <w:rFonts w:hint="eastAsia" w:ascii="宋体" w:hAnsi="宋体"/>
          <w:b/>
          <w:color w:val="222A35" w:themeColor="text2" w:themeShade="80"/>
          <w:sz w:val="24"/>
        </w:rPr>
        <w:t>实际订货价（</w:t>
      </w:r>
      <w:r>
        <w:rPr>
          <w:rFonts w:hint="eastAsia" w:hAnsi="宋体" w:cs="仿宋_GB2312"/>
          <w:b/>
          <w:color w:val="222A35" w:themeColor="text2" w:themeShade="80"/>
          <w:sz w:val="24"/>
          <w:lang w:val="zh-CN"/>
        </w:rPr>
        <w:t>招标人</w:t>
      </w:r>
      <w:r>
        <w:rPr>
          <w:rFonts w:hint="eastAsia" w:ascii="宋体" w:hAnsi="宋体"/>
          <w:b/>
          <w:color w:val="222A35" w:themeColor="text2" w:themeShade="80"/>
          <w:sz w:val="24"/>
        </w:rPr>
        <w:t>所询现款现货到工地含税价）乘以1.1</w:t>
      </w:r>
      <w:r>
        <w:rPr>
          <w:rFonts w:hint="eastAsia" w:ascii="宋体" w:hAnsi="宋体"/>
          <w:b/>
          <w:color w:val="222A35" w:themeColor="text2" w:themeShade="80"/>
          <w:sz w:val="24"/>
          <w:lang w:val="en-US" w:eastAsia="zh-CN"/>
        </w:rPr>
        <w:t>1</w:t>
      </w:r>
      <w:r>
        <w:rPr>
          <w:rFonts w:hint="eastAsia" w:ascii="宋体" w:hAnsi="宋体"/>
          <w:b/>
          <w:color w:val="222A35" w:themeColor="text2" w:themeShade="80"/>
          <w:sz w:val="24"/>
        </w:rPr>
        <w:t>作为</w:t>
      </w:r>
      <w:r>
        <w:rPr>
          <w:rFonts w:hint="eastAsia"/>
          <w:b/>
          <w:color w:val="222A35" w:themeColor="text2" w:themeShade="80"/>
          <w:sz w:val="24"/>
        </w:rPr>
        <w:t>结算</w:t>
      </w:r>
      <w:r>
        <w:rPr>
          <w:rFonts w:hint="eastAsia" w:ascii="宋体" w:hAnsi="宋体"/>
          <w:b/>
          <w:color w:val="222A35" w:themeColor="text2" w:themeShade="80"/>
          <w:sz w:val="24"/>
        </w:rPr>
        <w:t>价，</w:t>
      </w:r>
      <w:r>
        <w:rPr>
          <w:rFonts w:hint="eastAsia" w:hAnsi="宋体" w:cs="仿宋_GB2312"/>
          <w:b/>
          <w:color w:val="222A35" w:themeColor="text2" w:themeShade="80"/>
          <w:sz w:val="24"/>
          <w:lang w:val="zh-CN"/>
        </w:rPr>
        <w:t>投标人</w:t>
      </w:r>
      <w:r>
        <w:rPr>
          <w:rFonts w:hint="eastAsia" w:ascii="宋体" w:hAnsi="宋体"/>
          <w:b/>
          <w:color w:val="222A35" w:themeColor="text2" w:themeShade="80"/>
          <w:sz w:val="24"/>
        </w:rPr>
        <w:t>不再收取其它任何费用</w:t>
      </w:r>
      <w:r>
        <w:rPr>
          <w:rFonts w:hint="eastAsia" w:hAnsi="宋体" w:cs="仿宋_GB2312"/>
          <w:b/>
          <w:color w:val="222A35" w:themeColor="text2" w:themeShade="80"/>
          <w:sz w:val="24"/>
          <w:lang w:val="zh-CN"/>
        </w:rPr>
        <w:t>；洁具等若由招标人采购，投标人负责保管及安装，</w:t>
      </w:r>
      <w:r>
        <w:rPr>
          <w:rFonts w:hint="eastAsia"/>
          <w:b/>
          <w:color w:val="222A35" w:themeColor="text2" w:themeShade="80"/>
          <w:sz w:val="24"/>
        </w:rPr>
        <w:t>结算时</w:t>
      </w:r>
      <w:r>
        <w:rPr>
          <w:rFonts w:hint="eastAsia" w:hAnsi="宋体" w:cs="仿宋_GB2312"/>
          <w:b/>
          <w:color w:val="222A35" w:themeColor="text2" w:themeShade="80"/>
          <w:sz w:val="24"/>
          <w:lang w:val="zh-CN"/>
        </w:rPr>
        <w:t>投标人仅收取招标人采购洁具合同价款的1%做为保管费。</w:t>
      </w:r>
      <w:r>
        <w:rPr>
          <w:rFonts w:hint="eastAsia"/>
          <w:sz w:val="28"/>
          <w:szCs w:val="28"/>
          <w:lang w:val="en-US" w:eastAsia="zh-CN"/>
        </w:rPr>
        <w:t>”改为：</w:t>
      </w:r>
      <w:r>
        <w:rPr>
          <w:rFonts w:hint="eastAsia"/>
          <w:color w:val="222A35" w:themeColor="text2" w:themeShade="80"/>
          <w:sz w:val="28"/>
          <w:szCs w:val="28"/>
          <w:highlight w:val="red"/>
          <w:lang w:val="en-US" w:eastAsia="zh-CN"/>
        </w:rPr>
        <w:t>“</w:t>
      </w:r>
      <w:r>
        <w:rPr>
          <w:rFonts w:hint="eastAsia" w:ascii="宋体" w:hAnsi="宋体"/>
          <w:color w:val="222A35" w:themeColor="text2" w:themeShade="80"/>
          <w:sz w:val="24"/>
          <w:highlight w:val="red"/>
        </w:rPr>
        <w:t>4、</w:t>
      </w:r>
      <w:r>
        <w:rPr>
          <w:rFonts w:hint="eastAsia" w:ascii="宋体" w:hAnsi="宋体"/>
          <w:b/>
          <w:color w:val="222A35" w:themeColor="text2" w:themeShade="80"/>
          <w:sz w:val="24"/>
          <w:highlight w:val="red"/>
        </w:rPr>
        <w:t>本次招标石材</w:t>
      </w:r>
      <w:r>
        <w:rPr>
          <w:rFonts w:hint="eastAsia" w:ascii="宋体" w:hAnsi="宋体"/>
          <w:b/>
          <w:color w:val="222A35" w:themeColor="text2" w:themeShade="80"/>
          <w:sz w:val="24"/>
          <w:highlight w:val="red"/>
          <w:lang w:eastAsia="zh-CN"/>
        </w:rPr>
        <w:t>暂定材料单价或中标后石材项目更改的</w:t>
      </w:r>
      <w:r>
        <w:rPr>
          <w:rFonts w:hint="eastAsia" w:ascii="宋体" w:hAnsi="宋体"/>
          <w:color w:val="222A35" w:themeColor="text2" w:themeShade="80"/>
          <w:sz w:val="24"/>
          <w:highlight w:val="red"/>
        </w:rPr>
        <w:t>，</w:t>
      </w:r>
      <w:r>
        <w:rPr>
          <w:rFonts w:hint="eastAsia"/>
          <w:b/>
          <w:color w:val="222A35" w:themeColor="text2" w:themeShade="80"/>
          <w:sz w:val="24"/>
          <w:highlight w:val="red"/>
        </w:rPr>
        <w:t>结算时</w:t>
      </w:r>
      <w:r>
        <w:rPr>
          <w:rFonts w:hint="eastAsia" w:ascii="宋体" w:hAnsi="宋体"/>
          <w:b/>
          <w:color w:val="222A35" w:themeColor="text2" w:themeShade="80"/>
          <w:sz w:val="24"/>
          <w:highlight w:val="red"/>
        </w:rPr>
        <w:t>此部分甲定乙购材料价格按</w:t>
      </w:r>
      <w:r>
        <w:rPr>
          <w:rFonts w:hint="eastAsia" w:hAnsi="宋体" w:cs="仿宋_GB2312"/>
          <w:b/>
          <w:color w:val="222A35" w:themeColor="text2" w:themeShade="80"/>
          <w:sz w:val="24"/>
          <w:highlight w:val="red"/>
          <w:lang w:val="zh-CN"/>
        </w:rPr>
        <w:t>招标人</w:t>
      </w:r>
      <w:r>
        <w:rPr>
          <w:rFonts w:hint="eastAsia" w:ascii="宋体" w:hAnsi="宋体"/>
          <w:b/>
          <w:color w:val="222A35" w:themeColor="text2" w:themeShade="80"/>
          <w:sz w:val="24"/>
          <w:highlight w:val="red"/>
        </w:rPr>
        <w:t>实际订货价（</w:t>
      </w:r>
      <w:r>
        <w:rPr>
          <w:rFonts w:hint="eastAsia" w:hAnsi="宋体" w:cs="仿宋_GB2312"/>
          <w:b/>
          <w:color w:val="222A35" w:themeColor="text2" w:themeShade="80"/>
          <w:sz w:val="24"/>
          <w:highlight w:val="red"/>
          <w:lang w:val="zh-CN"/>
        </w:rPr>
        <w:t>招标人</w:t>
      </w:r>
      <w:r>
        <w:rPr>
          <w:rFonts w:hint="eastAsia" w:ascii="宋体" w:hAnsi="宋体"/>
          <w:b/>
          <w:color w:val="222A35" w:themeColor="text2" w:themeShade="80"/>
          <w:sz w:val="24"/>
          <w:highlight w:val="red"/>
        </w:rPr>
        <w:t>所询现款现货到工地含税价）乘以1.1</w:t>
      </w:r>
      <w:r>
        <w:rPr>
          <w:rFonts w:hint="eastAsia" w:ascii="宋体" w:hAnsi="宋体"/>
          <w:b/>
          <w:color w:val="222A35" w:themeColor="text2" w:themeShade="80"/>
          <w:sz w:val="24"/>
          <w:highlight w:val="red"/>
          <w:lang w:val="en-US" w:eastAsia="zh-CN"/>
        </w:rPr>
        <w:t>2</w:t>
      </w:r>
      <w:r>
        <w:rPr>
          <w:rFonts w:hint="eastAsia" w:ascii="宋体" w:hAnsi="宋体"/>
          <w:b/>
          <w:color w:val="222A35" w:themeColor="text2" w:themeShade="80"/>
          <w:sz w:val="24"/>
          <w:highlight w:val="red"/>
        </w:rPr>
        <w:t>作为</w:t>
      </w:r>
      <w:r>
        <w:rPr>
          <w:rFonts w:hint="eastAsia"/>
          <w:b/>
          <w:color w:val="222A35" w:themeColor="text2" w:themeShade="80"/>
          <w:sz w:val="24"/>
          <w:highlight w:val="red"/>
        </w:rPr>
        <w:t>结算</w:t>
      </w:r>
      <w:r>
        <w:rPr>
          <w:rFonts w:hint="eastAsia" w:ascii="宋体" w:hAnsi="宋体"/>
          <w:b/>
          <w:color w:val="222A35" w:themeColor="text2" w:themeShade="80"/>
          <w:sz w:val="24"/>
          <w:highlight w:val="red"/>
        </w:rPr>
        <w:t>价，</w:t>
      </w:r>
      <w:r>
        <w:rPr>
          <w:rFonts w:hint="eastAsia" w:hAnsi="宋体" w:cs="仿宋_GB2312"/>
          <w:b/>
          <w:color w:val="222A35" w:themeColor="text2" w:themeShade="80"/>
          <w:sz w:val="24"/>
          <w:highlight w:val="red"/>
          <w:lang w:val="zh-CN"/>
        </w:rPr>
        <w:t>投标人</w:t>
      </w:r>
      <w:r>
        <w:rPr>
          <w:rFonts w:hint="eastAsia" w:ascii="宋体" w:hAnsi="宋体"/>
          <w:b/>
          <w:color w:val="222A35" w:themeColor="text2" w:themeShade="80"/>
          <w:sz w:val="24"/>
          <w:highlight w:val="red"/>
        </w:rPr>
        <w:t>不再收取其它任何费用</w:t>
      </w:r>
      <w:r>
        <w:rPr>
          <w:rFonts w:hint="eastAsia" w:hAnsi="宋体" w:cs="仿宋_GB2312"/>
          <w:b/>
          <w:color w:val="222A35" w:themeColor="text2" w:themeShade="80"/>
          <w:sz w:val="24"/>
          <w:highlight w:val="red"/>
          <w:lang w:val="zh-CN"/>
        </w:rPr>
        <w:t>；洁具等若由招标人采购，投标人负责保管及安装，</w:t>
      </w:r>
      <w:r>
        <w:rPr>
          <w:rFonts w:hint="eastAsia"/>
          <w:b/>
          <w:color w:val="222A35" w:themeColor="text2" w:themeShade="80"/>
          <w:sz w:val="24"/>
          <w:highlight w:val="red"/>
        </w:rPr>
        <w:t>结算时</w:t>
      </w:r>
      <w:r>
        <w:rPr>
          <w:rFonts w:hint="eastAsia" w:hAnsi="宋体" w:cs="仿宋_GB2312"/>
          <w:b/>
          <w:color w:val="222A35" w:themeColor="text2" w:themeShade="80"/>
          <w:sz w:val="24"/>
          <w:highlight w:val="red"/>
          <w:lang w:val="zh-CN"/>
        </w:rPr>
        <w:t>投标人仅收取招标人采购洁具合同价款的1%做为保管费。</w:t>
      </w:r>
      <w:r>
        <w:rPr>
          <w:rFonts w:hint="eastAsia"/>
          <w:color w:val="222A35" w:themeColor="text2" w:themeShade="80"/>
          <w:sz w:val="28"/>
          <w:szCs w:val="28"/>
          <w:highlight w:val="red"/>
          <w:lang w:val="en-US" w:eastAsia="zh-CN"/>
        </w:rPr>
        <w:t xml:space="preserve">” </w:t>
      </w:r>
      <w:r>
        <w:rPr>
          <w:rFonts w:hint="eastAsia"/>
          <w:color w:val="222A35" w:themeColor="text2" w:themeShade="80"/>
          <w:sz w:val="28"/>
          <w:szCs w:val="28"/>
          <w:highlight w:val="none"/>
          <w:lang w:val="en-US" w:eastAsia="zh-CN"/>
        </w:rPr>
        <w:t>详见招标答疑10条。</w:t>
      </w:r>
    </w:p>
    <w:p>
      <w:pPr>
        <w:adjustRightInd w:val="0"/>
        <w:snapToGrid w:val="0"/>
        <w:spacing w:line="360" w:lineRule="auto"/>
        <w:rPr>
          <w:rFonts w:hint="eastAsia"/>
          <w:sz w:val="28"/>
          <w:szCs w:val="28"/>
          <w:lang w:val="en-US" w:eastAsia="zh-CN"/>
        </w:rPr>
      </w:pPr>
      <w:r>
        <w:rPr>
          <w:rFonts w:hint="eastAsia"/>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全真中明體">
    <w:altName w:val="MingLiU"/>
    <w:panose1 w:val="00000000000000000000"/>
    <w:charset w:val="88"/>
    <w:family w:val="modern"/>
    <w:pitch w:val="default"/>
    <w:sig w:usb0="00000000" w:usb1="00000000" w:usb2="00000010" w:usb3="00000000" w:csb0="0010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5619A"/>
    <w:multiLevelType w:val="singleLevel"/>
    <w:tmpl w:val="57B5619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90664"/>
    <w:rsid w:val="02A01C31"/>
    <w:rsid w:val="02CA5B1F"/>
    <w:rsid w:val="03231AFD"/>
    <w:rsid w:val="03511D4C"/>
    <w:rsid w:val="049D20AA"/>
    <w:rsid w:val="05036654"/>
    <w:rsid w:val="09425880"/>
    <w:rsid w:val="0B383A6F"/>
    <w:rsid w:val="0E0C2B18"/>
    <w:rsid w:val="10055C51"/>
    <w:rsid w:val="115C21BC"/>
    <w:rsid w:val="15062B22"/>
    <w:rsid w:val="15BA5F46"/>
    <w:rsid w:val="173613E0"/>
    <w:rsid w:val="191376F6"/>
    <w:rsid w:val="1BAA34AD"/>
    <w:rsid w:val="1F5B4860"/>
    <w:rsid w:val="20F90A32"/>
    <w:rsid w:val="21AE4D25"/>
    <w:rsid w:val="23935F41"/>
    <w:rsid w:val="26CE02B5"/>
    <w:rsid w:val="29900D3C"/>
    <w:rsid w:val="29BD7764"/>
    <w:rsid w:val="2C283AA1"/>
    <w:rsid w:val="31BC4908"/>
    <w:rsid w:val="35CC08E0"/>
    <w:rsid w:val="372D155A"/>
    <w:rsid w:val="38B278A7"/>
    <w:rsid w:val="38F913AC"/>
    <w:rsid w:val="3A7B615E"/>
    <w:rsid w:val="3B1845F9"/>
    <w:rsid w:val="3B2A4B25"/>
    <w:rsid w:val="3B606516"/>
    <w:rsid w:val="3C04394A"/>
    <w:rsid w:val="3D405367"/>
    <w:rsid w:val="3E1E06B1"/>
    <w:rsid w:val="40B47B0D"/>
    <w:rsid w:val="40CC695F"/>
    <w:rsid w:val="43CE7748"/>
    <w:rsid w:val="448501F9"/>
    <w:rsid w:val="45190664"/>
    <w:rsid w:val="4B595A92"/>
    <w:rsid w:val="4E3073DD"/>
    <w:rsid w:val="4F9018C4"/>
    <w:rsid w:val="4FED2B14"/>
    <w:rsid w:val="55BD1B9E"/>
    <w:rsid w:val="55F766FD"/>
    <w:rsid w:val="56E070F5"/>
    <w:rsid w:val="5975229E"/>
    <w:rsid w:val="5F017A87"/>
    <w:rsid w:val="632037B8"/>
    <w:rsid w:val="64CE0308"/>
    <w:rsid w:val="66EA6585"/>
    <w:rsid w:val="67194913"/>
    <w:rsid w:val="67891035"/>
    <w:rsid w:val="678A62AC"/>
    <w:rsid w:val="682F4739"/>
    <w:rsid w:val="6BC54C99"/>
    <w:rsid w:val="6BEA3593"/>
    <w:rsid w:val="6C5A296A"/>
    <w:rsid w:val="6E5F2366"/>
    <w:rsid w:val="709022B9"/>
    <w:rsid w:val="719E56F2"/>
    <w:rsid w:val="758B5EBE"/>
    <w:rsid w:val="75A2333C"/>
    <w:rsid w:val="77F70CB6"/>
    <w:rsid w:val="7B1D72AA"/>
    <w:rsid w:val="7B2426A8"/>
    <w:rsid w:val="7BEA7703"/>
    <w:rsid w:val="7E513E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0066FF"/>
      <w:u w:val="none"/>
    </w:rPr>
  </w:style>
  <w:style w:type="character" w:styleId="4">
    <w:name w:val="Emphasis"/>
    <w:basedOn w:val="2"/>
    <w:qFormat/>
    <w:uiPriority w:val="0"/>
    <w:rPr>
      <w:i/>
    </w:rPr>
  </w:style>
  <w:style w:type="character" w:styleId="5">
    <w:name w:val="Hyperlink"/>
    <w:basedOn w:val="2"/>
    <w:qFormat/>
    <w:uiPriority w:val="0"/>
    <w:rPr>
      <w:color w:val="0066FF"/>
      <w:u w:val="none"/>
    </w:rPr>
  </w:style>
  <w:style w:type="character" w:customStyle="1" w:styleId="7">
    <w:name w:val="glosstext"/>
    <w:basedOn w:val="2"/>
    <w:qFormat/>
    <w:uiPriority w:val="0"/>
    <w:rPr>
      <w:i/>
      <w:color w:val="0000FF"/>
    </w:rPr>
  </w:style>
  <w:style w:type="character" w:customStyle="1" w:styleId="8">
    <w:name w:val="expandtext"/>
    <w:basedOn w:val="2"/>
    <w:qFormat/>
    <w:uiPriority w:val="0"/>
    <w:rPr>
      <w:i/>
      <w:color w:val="FF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2016-08-14T13:30:00Z</dcterms:created>
  <dc:creator>Feng</dc:creator>
  <cp:lastModifiedBy>陈峰</cp:lastModifiedBy>
  <cp:lastPrinted>2016-08-15T03:51:00Z</cp:lastPrinted>
  <dcterms:modified xsi:type="dcterms:W3CDTF">2016-08-19T03:08:59Z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